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5129" w14:textId="77777777" w:rsidR="002D7091" w:rsidRDefault="002D7091" w:rsidP="009663EC">
      <w:pPr>
        <w:pStyle w:val="Ttulo1"/>
        <w:rPr>
          <w:b/>
        </w:rPr>
      </w:pPr>
    </w:p>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EF9CFBE" w14:textId="77777777" w:rsidR="00D06331" w:rsidRPr="00A5492C" w:rsidRDefault="00D06331" w:rsidP="009663EC">
      <w:pPr>
        <w:jc w:val="both"/>
        <w:rPr>
          <w:rFonts w:ascii="Arial" w:hAnsi="Arial" w:cs="Arial"/>
          <w:sz w:val="22"/>
          <w:szCs w:val="22"/>
        </w:rPr>
      </w:pPr>
    </w:p>
    <w:p w14:paraId="30A39D2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7A5148C2" w14:textId="77777777" w:rsidR="00D06331" w:rsidRPr="00A5492C" w:rsidRDefault="00D06331" w:rsidP="009663EC">
      <w:pPr>
        <w:jc w:val="both"/>
        <w:rPr>
          <w:rFonts w:ascii="Arial" w:hAnsi="Arial" w:cs="Arial"/>
          <w:sz w:val="22"/>
          <w:szCs w:val="22"/>
        </w:rPr>
      </w:pP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1CC91727" w14:textId="77777777" w:rsidR="00B84F60" w:rsidRPr="00A5492C" w:rsidRDefault="00B84F60"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ó en cuya casa ó propiedad fuere expuesto alguno, deberá presentarlo al Oficial del Registro Civil con los vestidos, valores ó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w:t>
      </w:r>
      <w:r w:rsidRPr="00A5492C">
        <w:rPr>
          <w:rFonts w:ascii="Arial" w:hAnsi="Arial" w:cs="Arial"/>
          <w:sz w:val="22"/>
          <w:szCs w:val="22"/>
        </w:rPr>
        <w:lastRenderedPageBreak/>
        <w:t>la persona ó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155BB1E7" w14:textId="77777777" w:rsidR="00D06331" w:rsidRPr="00A5492C" w:rsidRDefault="00D06331" w:rsidP="009663EC">
      <w:pPr>
        <w:jc w:val="both"/>
        <w:rPr>
          <w:rFonts w:ascii="Arial" w:hAnsi="Arial" w:cs="Arial"/>
          <w:sz w:val="22"/>
          <w:szCs w:val="22"/>
        </w:rPr>
      </w:pPr>
    </w:p>
    <w:p w14:paraId="79C4A5BC"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lastRenderedPageBreak/>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lastRenderedPageBreak/>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legales. Tampoco se necesita reconocimiento del padre, si ya se expreso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El dominio del dueño de un predio sobre las aguas de que trata éste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ó locales de un inmueble, construidos en forma vertical, horizontal ó mixta, susceptibles de aprovechamiento independiente por </w:t>
      </w:r>
      <w:r w:rsidRPr="00AE3149">
        <w:rPr>
          <w:rFonts w:ascii="Arial" w:hAnsi="Arial" w:cs="Arial"/>
          <w:sz w:val="22"/>
          <w:szCs w:val="22"/>
        </w:rPr>
        <w:lastRenderedPageBreak/>
        <w:t>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14:paraId="50C4EFA3" w14:textId="77777777" w:rsidR="00D06331" w:rsidRPr="00AE3149" w:rsidRDefault="00D06331"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58593DCB" w14:textId="77777777" w:rsidR="00D06331" w:rsidRPr="00AE3149" w:rsidRDefault="00D06331" w:rsidP="005767CF">
      <w:pPr>
        <w:jc w:val="both"/>
        <w:rPr>
          <w:rFonts w:ascii="Arial" w:hAnsi="Arial" w:cs="Arial"/>
          <w:sz w:val="22"/>
          <w:szCs w:val="22"/>
        </w:rPr>
      </w:pP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7F63083D" w14:textId="77777777" w:rsidR="00D06331" w:rsidRPr="00AE3149" w:rsidRDefault="00D06331" w:rsidP="005767CF">
      <w:pPr>
        <w:jc w:val="both"/>
        <w:rPr>
          <w:rFonts w:ascii="Arial" w:hAnsi="Arial" w:cs="Arial"/>
          <w:sz w:val="22"/>
          <w:szCs w:val="22"/>
        </w:rPr>
      </w:pP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 xml:space="preserve">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w:t>
      </w:r>
      <w:r w:rsidR="00C345ED" w:rsidRPr="00C345ED">
        <w:rPr>
          <w:rFonts w:ascii="Arial" w:hAnsi="Arial" w:cs="Arial"/>
          <w:sz w:val="22"/>
          <w:szCs w:val="22"/>
          <w:lang w:val="es-ES"/>
        </w:rPr>
        <w:lastRenderedPageBreak/>
        <w:t>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4526AFCA" w14:textId="77777777" w:rsidR="00D06331" w:rsidRPr="00AE3149" w:rsidRDefault="00D06331" w:rsidP="005767CF">
      <w:pPr>
        <w:jc w:val="both"/>
        <w:rPr>
          <w:rFonts w:ascii="Arial" w:hAnsi="Arial" w:cs="Arial"/>
          <w:sz w:val="22"/>
          <w:szCs w:val="22"/>
        </w:rPr>
      </w:pP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69FF2683" w14:textId="77777777" w:rsidR="00D06331" w:rsidRPr="00AE3149" w:rsidRDefault="00D06331"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14:paraId="5B22FA41" w14:textId="77777777" w:rsidR="00D06331" w:rsidRPr="00AE3149" w:rsidRDefault="00D06331" w:rsidP="001D053D">
      <w:pPr>
        <w:jc w:val="both"/>
        <w:rPr>
          <w:rFonts w:ascii="Arial" w:hAnsi="Arial" w:cs="Arial"/>
          <w:sz w:val="22"/>
          <w:szCs w:val="22"/>
        </w:rPr>
      </w:pP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14:paraId="245AC5BB" w14:textId="77777777" w:rsidR="00D06331" w:rsidRPr="004D5F6D" w:rsidRDefault="00D06331" w:rsidP="001D053D">
      <w:pPr>
        <w:jc w:val="both"/>
        <w:rPr>
          <w:rFonts w:ascii="Arial" w:hAnsi="Arial" w:cs="Arial"/>
          <w:sz w:val="22"/>
          <w:szCs w:val="22"/>
        </w:rPr>
      </w:pP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8FA78F1" w14:textId="77777777" w:rsidR="00D06331" w:rsidRPr="004D5F6D" w:rsidRDefault="00D06331"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14:paraId="7E13D9AC" w14:textId="77777777" w:rsidR="007F7A4F" w:rsidRPr="004D5F6D" w:rsidRDefault="007F7A4F" w:rsidP="001D053D">
      <w:pPr>
        <w:jc w:val="both"/>
        <w:rPr>
          <w:rFonts w:ascii="Arial" w:hAnsi="Arial" w:cs="Arial"/>
          <w:sz w:val="22"/>
          <w:szCs w:val="22"/>
        </w:rPr>
      </w:pP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6EB8A739" w14:textId="77777777" w:rsidR="00D06331" w:rsidRPr="004D5F6D" w:rsidRDefault="00D06331" w:rsidP="001D053D">
      <w:pPr>
        <w:jc w:val="both"/>
        <w:rPr>
          <w:rFonts w:ascii="Arial" w:hAnsi="Arial" w:cs="Arial"/>
          <w:sz w:val="22"/>
          <w:szCs w:val="22"/>
        </w:rPr>
      </w:pP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6FA72EBC" w14:textId="77777777" w:rsidR="00D06331" w:rsidRPr="004D5F6D" w:rsidRDefault="00D06331" w:rsidP="00642704">
      <w:pPr>
        <w:jc w:val="both"/>
        <w:rPr>
          <w:rFonts w:ascii="Arial" w:hAnsi="Arial" w:cs="Arial"/>
          <w:sz w:val="22"/>
          <w:szCs w:val="22"/>
        </w:rPr>
      </w:pP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04089ED" w14:textId="77777777" w:rsidR="00D06331" w:rsidRPr="004E363C" w:rsidRDefault="00D06331" w:rsidP="00642704">
      <w:pPr>
        <w:jc w:val="both"/>
        <w:rPr>
          <w:rFonts w:ascii="Arial" w:hAnsi="Arial" w:cs="Arial"/>
          <w:sz w:val="22"/>
          <w:szCs w:val="22"/>
        </w:rPr>
      </w:pP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CDBDC5D" w14:textId="77777777" w:rsidR="00D06331" w:rsidRPr="00AE3149" w:rsidRDefault="00D06331" w:rsidP="00F810A0">
      <w:pPr>
        <w:jc w:val="both"/>
        <w:rPr>
          <w:rFonts w:ascii="Arial" w:hAnsi="Arial" w:cs="Arial"/>
          <w:sz w:val="22"/>
          <w:szCs w:val="22"/>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w:t>
      </w:r>
      <w:r w:rsidRPr="004E363C">
        <w:rPr>
          <w:rFonts w:ascii="Arial" w:hAnsi="Arial" w:cs="Arial"/>
          <w:sz w:val="22"/>
          <w:szCs w:val="22"/>
        </w:rPr>
        <w:lastRenderedPageBreak/>
        <w:t>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lastRenderedPageBreak/>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w:t>
      </w:r>
      <w:r w:rsidRPr="00AE3149">
        <w:rPr>
          <w:rFonts w:ascii="Arial" w:hAnsi="Arial" w:cs="Arial"/>
          <w:sz w:val="22"/>
          <w:szCs w:val="22"/>
        </w:rPr>
        <w:lastRenderedPageBreak/>
        <w:t>la constancia, que será firmada por el Director,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6C65218C" w14:textId="77777777" w:rsidR="00D06331" w:rsidRPr="00862FDB" w:rsidRDefault="00D06331" w:rsidP="00F810A0">
      <w:pPr>
        <w:jc w:val="both"/>
        <w:rPr>
          <w:rFonts w:ascii="Arial" w:hAnsi="Arial" w:cs="Arial"/>
          <w:sz w:val="22"/>
          <w:szCs w:val="22"/>
        </w:rPr>
      </w:pP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lastRenderedPageBreak/>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007DC10" w14:textId="77777777" w:rsidR="00D06331" w:rsidRPr="00AE3149" w:rsidRDefault="00D06331" w:rsidP="00F810A0">
      <w:pPr>
        <w:jc w:val="both"/>
        <w:rPr>
          <w:rFonts w:ascii="Arial" w:hAnsi="Arial" w:cs="Arial"/>
          <w:sz w:val="22"/>
          <w:szCs w:val="22"/>
        </w:rPr>
      </w:pP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05E83022"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2FBB6D16" w14:textId="77777777" w:rsidR="00D06331" w:rsidRPr="00AE3149" w:rsidRDefault="00D06331" w:rsidP="004D28F6">
      <w:pPr>
        <w:jc w:val="both"/>
        <w:rPr>
          <w:rFonts w:ascii="Arial" w:hAnsi="Arial" w:cs="Arial"/>
          <w:sz w:val="22"/>
          <w:szCs w:val="22"/>
        </w:rPr>
      </w:pP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30AAC22A" w14:textId="77777777" w:rsidR="00E8113C" w:rsidRPr="00AE3149" w:rsidRDefault="00E8113C"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 xml:space="preserve">Los acreedores y legatarios no podrán exigir el pago de su créditos y legados, sino hasta que el inventario haya sido formado y aprobado, siempre que se forme y apruebe dentro de los </w:t>
      </w:r>
      <w:r w:rsidRPr="00AE3149">
        <w:rPr>
          <w:rFonts w:ascii="Arial" w:hAnsi="Arial" w:cs="Arial"/>
          <w:sz w:val="22"/>
          <w:szCs w:val="22"/>
        </w:rPr>
        <w:lastRenderedPageBreak/>
        <w:t>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 xml:space="preserve">El consentimiento puede ser expreso o tácito. Es expreso cuando se manifiesta verbalmente, por escrito o por signos inequívocos. El tácito resultará de hechos o de actos que lo </w:t>
      </w:r>
      <w:r w:rsidRPr="00AE3149">
        <w:rPr>
          <w:rFonts w:ascii="Arial" w:hAnsi="Arial" w:cs="Arial"/>
          <w:sz w:val="22"/>
          <w:szCs w:val="22"/>
        </w:rPr>
        <w:lastRenderedPageBreak/>
        <w:t>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 xml:space="preserve">La propiedad de los documentos de carácter civil que se extiendan a la orden, se transfiere por simple endoso que contendrá el lugar y fecha en que se hace, el concepto en que se </w:t>
      </w:r>
      <w:r w:rsidRPr="00AE3149">
        <w:rPr>
          <w:rFonts w:ascii="Arial" w:hAnsi="Arial" w:cs="Arial"/>
          <w:sz w:val="22"/>
          <w:szCs w:val="22"/>
        </w:rPr>
        <w:lastRenderedPageBreak/>
        <w:t>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 xml:space="preserve">La resolución del contrato fundado en falta de pago por parte del adquiriente de la propiedad de bienes inmuebles u otro derecho real sobre los mismos, no surtirá efecto contra tercero </w:t>
      </w:r>
      <w:r w:rsidRPr="00AE3149">
        <w:rPr>
          <w:rFonts w:ascii="Arial" w:hAnsi="Arial" w:cs="Arial"/>
          <w:sz w:val="22"/>
          <w:szCs w:val="22"/>
        </w:rPr>
        <w:lastRenderedPageBreak/>
        <w:t>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lastRenderedPageBreak/>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DE LOS CONTRATOS PREPARATORIOS.-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lastRenderedPageBreak/>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lastRenderedPageBreak/>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lastRenderedPageBreak/>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 xml:space="preserve">El interés legal es el nueve por ciento anual. El interés convencional es el que fijen los contratantes y puede ser mayor o menor que el interés legal; pero cuando el interés sea tan desproporcionado que haga fundadamente creer que se ha abusado del apuro pecuniario, de la </w:t>
      </w:r>
      <w:r w:rsidRPr="00AE3149">
        <w:rPr>
          <w:rFonts w:ascii="Arial" w:hAnsi="Arial" w:cs="Arial"/>
          <w:sz w:val="22"/>
          <w:szCs w:val="22"/>
        </w:rPr>
        <w:lastRenderedPageBreak/>
        <w:t>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29BF9A63"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14:paraId="240310E5" w14:textId="77777777" w:rsidR="00D06331" w:rsidRPr="00AE3149" w:rsidRDefault="00D06331" w:rsidP="00366766">
      <w:pPr>
        <w:jc w:val="both"/>
        <w:rPr>
          <w:rFonts w:ascii="Arial" w:hAnsi="Arial" w:cs="Arial"/>
          <w:sz w:val="22"/>
          <w:szCs w:val="22"/>
        </w:rPr>
      </w:pPr>
    </w:p>
    <w:p w14:paraId="24ABF67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57C708C0" w14:textId="77777777" w:rsidR="00D06331" w:rsidRPr="00D01A70" w:rsidRDefault="00D06331" w:rsidP="00366766">
      <w:pPr>
        <w:jc w:val="both"/>
        <w:rPr>
          <w:rFonts w:ascii="Arial" w:hAnsi="Arial" w:cs="Arial"/>
          <w:b/>
          <w:sz w:val="22"/>
          <w:szCs w:val="22"/>
        </w:rPr>
      </w:pP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Entiéndese por casos fortuitos extraordinarios: incendio, guerra, peste, inundación insólita, langosta, terremoto u otro acontecimiento igualmente desacostumbrado y que los contratantes no hayan podido razonablemente preveer.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77777777" w:rsidR="00D06331" w:rsidRPr="00AE3149" w:rsidRDefault="00D06331"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w:t>
      </w:r>
      <w:r w:rsidRPr="005974B5">
        <w:rPr>
          <w:rFonts w:ascii="Arial" w:hAnsi="Arial" w:cs="Arial"/>
          <w:sz w:val="22"/>
          <w:szCs w:val="22"/>
        </w:rPr>
        <w:lastRenderedPageBreak/>
        <w:t>contratantes, previo aviso a la otra parte dado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77777777" w:rsidR="00D06331" w:rsidRPr="00AE3149" w:rsidRDefault="00D06331"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lastRenderedPageBreak/>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3AB6EA4D" w14:textId="77777777" w:rsidR="00D06331" w:rsidRPr="00AE3149" w:rsidRDefault="00D06331" w:rsidP="00366766">
      <w:pPr>
        <w:jc w:val="both"/>
        <w:rPr>
          <w:rFonts w:ascii="Arial" w:hAnsi="Arial" w:cs="Arial"/>
          <w:sz w:val="22"/>
          <w:szCs w:val="22"/>
        </w:rPr>
      </w:pP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7B81DB9A" w14:textId="77777777" w:rsidR="00D06331" w:rsidRPr="00AE3149" w:rsidRDefault="00D06331" w:rsidP="00366766">
      <w:pPr>
        <w:jc w:val="both"/>
        <w:rPr>
          <w:rFonts w:ascii="Arial" w:hAnsi="Arial" w:cs="Arial"/>
          <w:sz w:val="22"/>
          <w:szCs w:val="22"/>
        </w:rPr>
      </w:pP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1F451F6E" w14:textId="77777777" w:rsidR="00D06331" w:rsidRPr="00AE3149" w:rsidRDefault="00D06331" w:rsidP="00366766">
      <w:pPr>
        <w:jc w:val="both"/>
        <w:rPr>
          <w:rFonts w:ascii="Arial" w:hAnsi="Arial" w:cs="Arial"/>
          <w:sz w:val="22"/>
          <w:szCs w:val="22"/>
        </w:rPr>
      </w:pP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51B7E1EE" w14:textId="77777777" w:rsidR="00760F9E" w:rsidRDefault="00760F9E" w:rsidP="00800B48">
      <w:pPr>
        <w:jc w:val="both"/>
        <w:rPr>
          <w:rFonts w:ascii="Arial" w:hAnsi="Arial" w:cs="Arial"/>
          <w:sz w:val="22"/>
          <w:szCs w:val="22"/>
        </w:rPr>
      </w:pP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w:t>
      </w:r>
      <w:r w:rsidRPr="00AE3149">
        <w:rPr>
          <w:rFonts w:ascii="Arial" w:hAnsi="Arial" w:cs="Arial"/>
          <w:sz w:val="22"/>
          <w:szCs w:val="22"/>
        </w:rPr>
        <w:lastRenderedPageBreak/>
        <w:t xml:space="preserve">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w:t>
      </w:r>
      <w:r w:rsidRPr="00AE3149">
        <w:rPr>
          <w:rFonts w:ascii="Arial" w:hAnsi="Arial" w:cs="Arial"/>
          <w:sz w:val="22"/>
          <w:szCs w:val="22"/>
        </w:rPr>
        <w:lastRenderedPageBreak/>
        <w:t>ejecutado por causa del dueño, podrá cobrarlo, a no ser que al encargárselo se haya pactado que el dueño no lo paga si no le convniere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IV.- El importe del capital social y la aportación con que cada socio debe contribuír.</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4F4DE759" w14:textId="77777777" w:rsidR="00D06331" w:rsidRPr="00AE3149" w:rsidRDefault="00D06331" w:rsidP="004D28F6">
      <w:pPr>
        <w:rPr>
          <w:rFonts w:ascii="Arial" w:hAnsi="Arial" w:cs="Arial"/>
          <w:sz w:val="22"/>
          <w:szCs w:val="22"/>
        </w:rPr>
      </w:pPr>
    </w:p>
    <w:p w14:paraId="7AB11360" w14:textId="77777777" w:rsidR="00D06331" w:rsidRPr="00AE3149" w:rsidRDefault="00D06331" w:rsidP="004D28F6">
      <w:pPr>
        <w:rPr>
          <w:rFonts w:ascii="Arial" w:hAnsi="Arial" w:cs="Arial"/>
          <w:sz w:val="22"/>
          <w:szCs w:val="22"/>
        </w:rPr>
      </w:pP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3B9D898A" w14:textId="77777777" w:rsidR="00CD2D07" w:rsidRPr="00AE3149" w:rsidRDefault="00CD2D07" w:rsidP="004D28F6">
      <w:pPr>
        <w:tabs>
          <w:tab w:val="left" w:pos="709"/>
        </w:tabs>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14:paraId="4B78BB1A" w14:textId="77777777" w:rsidR="00CD2D07" w:rsidRPr="00AE3149" w:rsidRDefault="00CD2D07" w:rsidP="004D28F6">
      <w:pPr>
        <w:tabs>
          <w:tab w:val="left" w:pos="709"/>
        </w:tabs>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 xml:space="preserve">Es nula toda cláusula que autoriza al acreedor a apropiarse la prenda, aunque ésta sea de menor valor que la deuda, o a disponer de ella fuera de la manera establecida en los artículos </w:t>
      </w:r>
      <w:r w:rsidRPr="00AE3149">
        <w:rPr>
          <w:rFonts w:ascii="Arial" w:hAnsi="Arial" w:cs="Arial"/>
          <w:sz w:val="22"/>
          <w:szCs w:val="22"/>
        </w:rPr>
        <w:lastRenderedPageBreak/>
        <w:t>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 xml:space="preserve">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w:t>
      </w:r>
      <w:r w:rsidRPr="00AE3149">
        <w:rPr>
          <w:rFonts w:ascii="Arial" w:hAnsi="Arial" w:cs="Arial"/>
          <w:sz w:val="22"/>
          <w:szCs w:val="22"/>
        </w:rPr>
        <w:lastRenderedPageBreak/>
        <w:t>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destruír la eficacia de una obligación hipotecaria anterior, no surtirá efecto contra tercero si no se hace constar en el </w:t>
      </w:r>
      <w:r w:rsidRPr="00AE3149">
        <w:rPr>
          <w:rFonts w:ascii="Arial" w:hAnsi="Arial" w:cs="Arial"/>
          <w:sz w:val="22"/>
          <w:szCs w:val="22"/>
        </w:rPr>
        <w:lastRenderedPageBreak/>
        <w:t>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lastRenderedPageBreak/>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lastRenderedPageBreak/>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lastRenderedPageBreak/>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w:t>
      </w:r>
      <w:r w:rsidRPr="006810DF">
        <w:rPr>
          <w:rFonts w:ascii="Arial" w:hAnsi="Arial" w:cs="Arial"/>
        </w:rPr>
        <w:lastRenderedPageBreak/>
        <w:t>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 xml:space="preserve">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w:t>
      </w:r>
      <w:r w:rsidRPr="006810DF">
        <w:rPr>
          <w:rFonts w:ascii="Arial" w:hAnsi="Arial" w:cs="Arial"/>
        </w:rPr>
        <w:lastRenderedPageBreak/>
        <w:t>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lastRenderedPageBreak/>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lastRenderedPageBreak/>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lastRenderedPageBreak/>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r w:rsidRPr="00050ACC">
        <w:rPr>
          <w:rFonts w:ascii="Arial" w:hAnsi="Arial" w:cs="Arial"/>
          <w:b/>
          <w:lang w:val="es-MX"/>
        </w:rPr>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lastRenderedPageBreak/>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lastRenderedPageBreak/>
        <w:t>Dado en el Salón de Sesiones del Honorable Congreso del Estado, en Victoria de Durango, Dgo.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lastRenderedPageBreak/>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lastRenderedPageBreak/>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2" w:name="_Hlk37757957"/>
      <w:r>
        <w:rPr>
          <w:rFonts w:ascii="Arial" w:eastAsia="Arial Unicode MS" w:hAnsi="Arial" w:cs="Arial"/>
          <w:b/>
          <w:lang w:eastAsia="es-MX"/>
        </w:rPr>
        <w:t>DECRETO 271, LXVIII LEGISLATURA, PERIODICO OFICIAL No. 23 E FECHA 19 DE MARZO DE 2020.</w:t>
      </w:r>
      <w:bookmarkEnd w:id="2"/>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Dado en el Salón de Sesiones del Honorable Congreso del Estado, en Victoria de Durango, Dgo.,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lastRenderedPageBreak/>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Dado en el Salón de Sesiones Del Honorable Congreso del Estado, en Victoria de Durango, Dgo.,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Dado en el Salón de Sesiones Del Honorable Congreso del Estado, en Victoria de Durango, Dgo.,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Dado en el Salón de Sesiones del Honorable Congreso del Estado, en Victoria de Durango, Dgo.,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Dado en el Salón de Sesiones del Honorable Congreso del Estado, en Victoria de Durango, Dgo.,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Dado en el Salón de Sesiones del Honorable Congreso del Estado, en Victoria de Durango, Dgo.,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lastRenderedPageBreak/>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Dado en el Salón de Sesiones del Honorable Congreso del Estado, en Victoria de Durango, Dgo.,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Dado en el Salón de Sesiones del Honorable Congreso del Estado, en Victoria de Durango, Dgo.,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0F6A355" w14:textId="77777777" w:rsidR="0014382A" w:rsidRDefault="0014382A" w:rsidP="0014382A">
      <w:pPr>
        <w:jc w:val="center"/>
        <w:rPr>
          <w:rFonts w:ascii="Arial" w:hAnsi="Arial" w:cs="Arial"/>
          <w:b/>
          <w:bCs/>
        </w:rPr>
      </w:pPr>
    </w:p>
    <w:p w14:paraId="1666E9FE" w14:textId="77777777" w:rsidR="0014382A" w:rsidRDefault="0014382A" w:rsidP="0014382A">
      <w:pPr>
        <w:jc w:val="center"/>
        <w:rPr>
          <w:rFonts w:ascii="Arial" w:hAnsi="Arial" w:cs="Arial"/>
          <w:b/>
          <w:bCs/>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lastRenderedPageBreak/>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3"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Dado en el Salón de Sesiones del Congreso del Estado, en Victoria de Durango, Dgo.,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CC77E5B" w:rsidR="0014382A" w:rsidRPr="0014382A" w:rsidRDefault="0014382A" w:rsidP="0014382A">
      <w:pPr>
        <w:jc w:val="both"/>
        <w:rPr>
          <w:rFonts w:ascii="Arial" w:eastAsia="Arial Unicode MS" w:hAnsi="Arial" w:cs="Arial"/>
          <w:bCs/>
          <w:lang w:eastAsia="es-MX"/>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3"/>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sectPr w:rsidR="0014382A" w:rsidRPr="0014382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C832" w14:textId="77777777" w:rsidR="00367F69" w:rsidRDefault="00367F69" w:rsidP="00FA3700">
      <w:r>
        <w:separator/>
      </w:r>
    </w:p>
  </w:endnote>
  <w:endnote w:type="continuationSeparator" w:id="0">
    <w:p w14:paraId="4B0AB4AC" w14:textId="77777777" w:rsidR="00367F69" w:rsidRDefault="00367F6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87382"/>
      <w:docPartObj>
        <w:docPartGallery w:val="Page Numbers (Bottom of Page)"/>
        <w:docPartUnique/>
      </w:docPartObj>
    </w:sdtPr>
    <w:sdtEndPr/>
    <w:sdtContent>
      <w:p w14:paraId="2A01C650" w14:textId="77777777"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4E45" w14:textId="77777777" w:rsidR="00367F69" w:rsidRDefault="00367F69" w:rsidP="00FA3700">
      <w:r>
        <w:separator/>
      </w:r>
    </w:p>
  </w:footnote>
  <w:footnote w:type="continuationSeparator" w:id="0">
    <w:p w14:paraId="5928A65A" w14:textId="77777777" w:rsidR="00367F69" w:rsidRDefault="00367F69"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Look w:val="00A0" w:firstRow="1" w:lastRow="0" w:firstColumn="1" w:lastColumn="0" w:noHBand="0" w:noVBand="0"/>
    </w:tblPr>
    <w:tblGrid>
      <w:gridCol w:w="10173"/>
    </w:tblGrid>
    <w:tr w:rsidR="00F27ECF"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14:paraId="62A31B0F" w14:textId="77777777" w:rsidTr="004D28F6">
            <w:trPr>
              <w:trHeight w:val="1402"/>
            </w:trPr>
            <w:tc>
              <w:tcPr>
                <w:tcW w:w="4570" w:type="dxa"/>
              </w:tcPr>
              <w:p w14:paraId="0F3D91BC" w14:textId="77777777"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F27ECF" w:rsidRDefault="00F27ECF" w:rsidP="00F8571A">
                <w:pPr>
                  <w:pStyle w:val="Encabezado"/>
                  <w:tabs>
                    <w:tab w:val="clear" w:pos="4252"/>
                  </w:tabs>
                  <w:rPr>
                    <w:rFonts w:ascii="Candara" w:hAnsi="Candara" w:cs="Arial"/>
                    <w:b/>
                    <w:i/>
                    <w:sz w:val="18"/>
                    <w:szCs w:val="18"/>
                  </w:rPr>
                </w:pPr>
              </w:p>
              <w:p w14:paraId="2761387F" w14:textId="77777777" w:rsidR="00B11393" w:rsidRDefault="00B11393" w:rsidP="004177E0">
                <w:pPr>
                  <w:pStyle w:val="Encabezado"/>
                  <w:tabs>
                    <w:tab w:val="clear" w:pos="4252"/>
                  </w:tabs>
                  <w:jc w:val="right"/>
                  <w:rPr>
                    <w:rFonts w:ascii="Arial" w:hAnsi="Arial" w:cs="Arial"/>
                    <w:b/>
                    <w:sz w:val="16"/>
                    <w:szCs w:val="16"/>
                  </w:rPr>
                </w:pPr>
              </w:p>
              <w:p w14:paraId="57C12658" w14:textId="77777777"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F27ECF" w:rsidRDefault="00F27ECF" w:rsidP="00FA3700">
                <w:pPr>
                  <w:pStyle w:val="Encabezado"/>
                  <w:jc w:val="center"/>
                  <w:rPr>
                    <w:rFonts w:ascii="Arial" w:hAnsi="Arial" w:cs="Arial"/>
                    <w:b/>
                    <w:i/>
                    <w:sz w:val="18"/>
                    <w:szCs w:val="18"/>
                  </w:rPr>
                </w:pPr>
              </w:p>
              <w:p w14:paraId="2BCE44D0" w14:textId="77777777" w:rsidR="00F27ECF" w:rsidRPr="004D28F6" w:rsidRDefault="00F27ECF" w:rsidP="00FA3700">
                <w:pPr>
                  <w:pStyle w:val="Encabezado"/>
                  <w:jc w:val="center"/>
                  <w:rPr>
                    <w:rFonts w:ascii="Arial" w:hAnsi="Arial" w:cs="Arial"/>
                    <w:b/>
                    <w:i/>
                    <w:sz w:val="18"/>
                    <w:szCs w:val="18"/>
                  </w:rPr>
                </w:pPr>
              </w:p>
              <w:p w14:paraId="2332985C" w14:textId="77777777" w:rsidR="00F27ECF" w:rsidRPr="004D28F6" w:rsidRDefault="00F27ECF" w:rsidP="00FA3700">
                <w:pPr>
                  <w:pStyle w:val="Encabezado"/>
                  <w:jc w:val="center"/>
                  <w:rPr>
                    <w:rFonts w:ascii="Arial" w:hAnsi="Arial" w:cs="Arial"/>
                    <w:b/>
                    <w:i/>
                    <w:sz w:val="18"/>
                    <w:szCs w:val="18"/>
                  </w:rPr>
                </w:pPr>
              </w:p>
              <w:p w14:paraId="670BCF1F" w14:textId="77777777"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06F6B6B1"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14382A">
                  <w:rPr>
                    <w:rFonts w:asciiTheme="minorHAnsi" w:eastAsiaTheme="minorHAnsi" w:hAnsiTheme="minorHAnsi" w:cs="Arial"/>
                    <w:i/>
                    <w:color w:val="000000" w:themeColor="text1"/>
                    <w:sz w:val="14"/>
                    <w:szCs w:val="16"/>
                  </w:rPr>
                  <w:t>79</w:t>
                </w:r>
                <w:r>
                  <w:rPr>
                    <w:rFonts w:asciiTheme="minorHAnsi" w:eastAsiaTheme="minorHAnsi" w:hAnsiTheme="minorHAnsi" w:cs="Arial"/>
                    <w:i/>
                    <w:color w:val="000000" w:themeColor="text1"/>
                    <w:sz w:val="14"/>
                    <w:szCs w:val="16"/>
                  </w:rPr>
                  <w:t xml:space="preserve"> P.O.</w:t>
                </w:r>
                <w:r w:rsidR="0014382A">
                  <w:rPr>
                    <w:rFonts w:asciiTheme="minorHAnsi" w:eastAsiaTheme="minorHAnsi" w:hAnsiTheme="minorHAnsi" w:cs="Arial"/>
                    <w:i/>
                    <w:color w:val="000000" w:themeColor="text1"/>
                    <w:sz w:val="14"/>
                    <w:szCs w:val="16"/>
                  </w:rPr>
                  <w:t>103 BIS</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00D53D91">
                  <w:rPr>
                    <w:rFonts w:asciiTheme="minorHAnsi" w:eastAsiaTheme="minorHAnsi" w:hAnsiTheme="minorHAnsi" w:cs="Arial"/>
                    <w:i/>
                    <w:color w:val="000000" w:themeColor="text1"/>
                    <w:sz w:val="14"/>
                    <w:szCs w:val="16"/>
                  </w:rPr>
                  <w:t xml:space="preserve"> </w:t>
                </w:r>
                <w:r w:rsidR="0014382A">
                  <w:rPr>
                    <w:rFonts w:asciiTheme="minorHAnsi" w:eastAsiaTheme="minorHAnsi" w:hAnsiTheme="minorHAnsi" w:cs="Arial"/>
                    <w:i/>
                    <w:color w:val="000000" w:themeColor="text1"/>
                    <w:sz w:val="14"/>
                    <w:szCs w:val="16"/>
                  </w:rPr>
                  <w:t>26</w:t>
                </w:r>
                <w:r>
                  <w:rPr>
                    <w:rFonts w:asciiTheme="minorHAnsi" w:eastAsiaTheme="minorHAnsi" w:hAnsiTheme="minorHAnsi" w:cs="Arial"/>
                    <w:i/>
                    <w:color w:val="000000" w:themeColor="text1"/>
                    <w:sz w:val="14"/>
                    <w:szCs w:val="16"/>
                  </w:rPr>
                  <w:t xml:space="preserve"> DE </w:t>
                </w:r>
                <w:r w:rsidR="0014382A">
                  <w:rPr>
                    <w:rFonts w:asciiTheme="minorHAnsi" w:eastAsiaTheme="minorHAnsi" w:hAnsiTheme="minorHAnsi" w:cs="Arial"/>
                    <w:i/>
                    <w:color w:val="000000" w:themeColor="text1"/>
                    <w:sz w:val="14"/>
                    <w:szCs w:val="16"/>
                  </w:rPr>
                  <w:t>DICIEMBRE</w:t>
                </w:r>
                <w:r>
                  <w:rPr>
                    <w:rFonts w:asciiTheme="minorHAnsi" w:eastAsiaTheme="minorHAnsi" w:hAnsiTheme="minorHAnsi" w:cs="Arial"/>
                    <w:i/>
                    <w:color w:val="000000" w:themeColor="text1"/>
                    <w:sz w:val="14"/>
                    <w:szCs w:val="16"/>
                  </w:rPr>
                  <w:t xml:space="preserve"> DE 202</w:t>
                </w:r>
                <w:r w:rsidR="00093F9E">
                  <w:rPr>
                    <w:rFonts w:asciiTheme="minorHAnsi" w:eastAsiaTheme="minorHAnsi" w:hAnsiTheme="minorHAnsi" w:cs="Arial"/>
                    <w:i/>
                    <w:color w:val="000000" w:themeColor="text1"/>
                    <w:sz w:val="14"/>
                    <w:szCs w:val="16"/>
                  </w:rPr>
                  <w:t>1</w:t>
                </w:r>
                <w:r w:rsidRPr="004D28F6">
                  <w:rPr>
                    <w:rFonts w:asciiTheme="minorHAnsi" w:eastAsiaTheme="minorHAnsi" w:hAnsiTheme="minorHAnsi" w:cs="Arial"/>
                    <w:i/>
                    <w:color w:val="000000" w:themeColor="text1"/>
                    <w:sz w:val="14"/>
                    <w:szCs w:val="16"/>
                  </w:rPr>
                  <w:t>.</w:t>
                </w:r>
              </w:p>
            </w:tc>
          </w:tr>
        </w:tbl>
        <w:p w14:paraId="2651FB9F" w14:textId="77777777" w:rsidR="00F27ECF" w:rsidRPr="00340D16" w:rsidRDefault="00F27ECF" w:rsidP="00680DC6">
          <w:pPr>
            <w:pStyle w:val="Encabezado"/>
            <w:jc w:val="center"/>
          </w:pPr>
        </w:p>
      </w:tc>
    </w:tr>
  </w:tbl>
  <w:p w14:paraId="48CF48C4" w14:textId="77777777"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381</Pages>
  <Words>136053</Words>
  <Characters>748294</Characters>
  <Application>Microsoft Office Word</Application>
  <DocSecurity>0</DocSecurity>
  <Lines>6235</Lines>
  <Paragraphs>1765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Serv Legislativos</cp:lastModifiedBy>
  <cp:revision>3</cp:revision>
  <cp:lastPrinted>2017-03-14T20:17:00Z</cp:lastPrinted>
  <dcterms:created xsi:type="dcterms:W3CDTF">2022-02-14T23:47:00Z</dcterms:created>
  <dcterms:modified xsi:type="dcterms:W3CDTF">2022-02-14T23:55:00Z</dcterms:modified>
</cp:coreProperties>
</file>